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1" w:rsidRDefault="00C60C4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619250" cy="428625"/>
            <wp:effectExtent l="19050" t="0" r="0" b="0"/>
            <wp:wrapTight wrapText="bothSides">
              <wp:wrapPolygon edited="0">
                <wp:start x="-254" y="0"/>
                <wp:lineTo x="-254" y="21120"/>
                <wp:lineTo x="21600" y="21120"/>
                <wp:lineTo x="21600" y="0"/>
                <wp:lineTo x="-254" y="0"/>
              </wp:wrapPolygon>
            </wp:wrapTight>
            <wp:docPr id="8" name="Рисунок 8" descr="Logom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u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C91" w:rsidRDefault="00B21C91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TEKNOS OY</w:t>
      </w:r>
    </w:p>
    <w:p w:rsidR="00B21C91" w:rsidRDefault="00B21C9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fi-FI"/>
        </w:rPr>
        <w:t xml:space="preserve">PL 107, 00371 HELSINKI, PUH. </w:t>
      </w:r>
      <w:r>
        <w:rPr>
          <w:rFonts w:ascii="Times New Roman" w:hAnsi="Times New Roman"/>
          <w:lang w:val="ru-RU"/>
        </w:rPr>
        <w:t>(09) 506 091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51"/>
        <w:gridCol w:w="7072"/>
      </w:tblGrid>
      <w:tr w:rsidR="00B21C91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left w:val="nil"/>
              <w:right w:val="nil"/>
            </w:tcBorders>
          </w:tcPr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Характеристика материала</w:t>
            </w: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951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4     14 .03. 2003</w:t>
            </w:r>
          </w:p>
        </w:tc>
        <w:tc>
          <w:tcPr>
            <w:tcW w:w="7072" w:type="dxa"/>
            <w:tcBorders>
              <w:left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БИОРА  БАЛАНС</w:t>
            </w:r>
          </w:p>
          <w:p w:rsidR="00B21C91" w:rsidRDefault="00B21C91">
            <w:pPr>
              <w:pStyle w:val="7"/>
            </w:pPr>
          </w:p>
        </w:tc>
      </w:tr>
      <w:tr w:rsidR="00B21C91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51" w:type="dxa"/>
            <w:tcBorders>
              <w:left w:val="nil"/>
              <w:bottom w:val="single" w:sz="4" w:space="0" w:color="auto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1"/>
              <w:rPr>
                <w:b w:val="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ТИП КРАСКИ</w:t>
            </w: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/>
          <w:p w:rsidR="00B21C91" w:rsidRDefault="00B21C91"/>
          <w:p w:rsidR="00B21C91" w:rsidRDefault="00B21C91"/>
          <w:p w:rsidR="00B21C91" w:rsidRDefault="00B21C91"/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ПРИМЕНЕНИЕ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4"/>
              <w:rPr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6"/>
              <w:rPr>
                <w:sz w:val="20"/>
              </w:rPr>
            </w:pPr>
          </w:p>
        </w:tc>
        <w:tc>
          <w:tcPr>
            <w:tcW w:w="7072" w:type="dxa"/>
            <w:tcBorders>
              <w:left w:val="nil"/>
              <w:bottom w:val="single" w:sz="4" w:space="0" w:color="auto"/>
              <w:right w:val="nil"/>
            </w:tcBorders>
          </w:tcPr>
          <w:p w:rsidR="00B21C91" w:rsidRDefault="00B21C91">
            <w:pPr>
              <w:pStyle w:val="20"/>
              <w:rPr>
                <w:sz w:val="20"/>
                <w:lang w:val="ru-RU"/>
              </w:rPr>
            </w:pPr>
          </w:p>
          <w:p w:rsidR="00B21C91" w:rsidRDefault="00B21C91">
            <w:pPr>
              <w:pStyle w:val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Совершенно  матовая  водоразбавляемая акрилатная краска для внутренних  помещений. Полное отсутствие блеска достигается за счёт использования специального связующего, без применения матирующих добавок.  Краска  обладает исключительной стойкостью к мытью (более  10 000 проходов щеткой).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Материал  относится  к  категории М1  строительных материалов  по </w:t>
            </w:r>
          </w:p>
          <w:p w:rsidR="00B21C91" w:rsidRDefault="00B21C91">
            <w:pPr>
              <w:pStyle w:val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выбросам  вредных  веществ (полное отсутствие  растворителей и других вредных веществ).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Подходит для внутренних стен и потолков,  например,  в детских,  спальных  и гостиных  комнатах, кухнях, а также  для  детских садов, школьных классных помещений, больниц, цехов пищевых производств  и других  соответствующих помещений.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 xml:space="preserve">Соблюдая  инструкции по применению, краской   можно окрашивать деревянные, бетонные,  оштукатуренные,  зашпатлеванные и кирпичные поверхности, поверхности из  древесно- стружечных и древесно-волокнистых плит, а также стальные поверхности и поверхности из других строительных материалов.  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Кроме того, краска может использоваться  для повторной  окраски  поверхностей, ранее  окрашенных  алкидными и  водоразбавляемыми красками.</w:t>
            </w:r>
          </w:p>
        </w:tc>
      </w:tr>
      <w:tr w:rsidR="00B21C91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:rsidR="00B21C91" w:rsidRDefault="00B21C91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</w:p>
        </w:tc>
      </w:tr>
      <w:tr w:rsidR="00B21C91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Сухой остаток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Прим.    37  % по объему</w:t>
            </w:r>
          </w:p>
        </w:tc>
      </w:tr>
      <w:tr w:rsidR="00B21C91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Практическая укрывистость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Ранее окрашенная поверхность                       7 – 10  м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/л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Зашпатлеванная поверхность и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древесно-волокнистая плита                             6 –  8  м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/л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Бетонная и  оштукатуренная поверхность       4 –   7 м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/л</w:t>
            </w:r>
          </w:p>
        </w:tc>
      </w:tr>
      <w:tr w:rsidR="00B21C91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Плотность</w:t>
            </w: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высыхания, 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  </w:t>
            </w: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относит. влажность 50% </w:t>
            </w: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-от пыли 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b/>
                <w:lang w:val="ru-RU"/>
              </w:rPr>
              <w:t>-нанесение следующего слоя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ind w:right="141"/>
              <w:rPr>
                <w:lang w:val="ru-RU"/>
              </w:rPr>
            </w:pPr>
          </w:p>
          <w:p w:rsidR="00B21C91" w:rsidRDefault="00B21C91">
            <w:pPr>
              <w:ind w:right="141"/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Прим.  1,4   кг/ л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1 час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 xml:space="preserve"> через   2  часа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</w:tc>
      </w:tr>
      <w:tr w:rsidR="00B21C91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Разбавитель,</w:t>
            </w: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очистка  инструментов</w:t>
            </w: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Блеск</w:t>
            </w: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Цвет</w:t>
            </w: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Стойкость к мытью</w:t>
            </w:r>
          </w:p>
          <w:p w:rsidR="00B21C91" w:rsidRDefault="00B21C91">
            <w:pPr>
              <w:rPr>
                <w:lang w:val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Инструменты  обязательно  промыть   после   работы  теплой водой.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Совершенно матовый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Колеруется во все  цвета     по  карте цветов для  внутренних  поверхностей (</w:t>
            </w:r>
            <w:r>
              <w:rPr>
                <w:sz w:val="20"/>
                <w:lang w:val="en-US"/>
              </w:rPr>
              <w:t>NCS</w:t>
            </w:r>
            <w:r w:rsidRPr="0013798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en-US"/>
              </w:rPr>
              <w:t>RAL</w:t>
            </w:r>
            <w:r>
              <w:rPr>
                <w:sz w:val="20"/>
                <w:lang w:val="ru-RU"/>
              </w:rPr>
              <w:t xml:space="preserve"> и др.)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 xml:space="preserve">Исключительно высокая.  Выдерживает  более  10 000 проходов щеткой. </w:t>
            </w:r>
          </w:p>
          <w:p w:rsidR="00B21C91" w:rsidRDefault="00B21C91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lang w:val="fi-FI"/>
              </w:rPr>
              <w:t>SFS 3755).</w:t>
            </w:r>
            <w:r>
              <w:rPr>
                <w:lang w:val="ru-RU"/>
              </w:rPr>
              <w:t xml:space="preserve"> </w:t>
            </w:r>
          </w:p>
        </w:tc>
      </w:tr>
    </w:tbl>
    <w:p w:rsidR="00B21C91" w:rsidRDefault="00B21C91">
      <w:pPr>
        <w:rPr>
          <w:lang w:val="ru-RU"/>
        </w:rPr>
      </w:pPr>
    </w:p>
    <w:p w:rsidR="00B21C91" w:rsidRDefault="00B21C91">
      <w:pPr>
        <w:rPr>
          <w:lang w:val="ru-RU"/>
        </w:rPr>
      </w:pPr>
    </w:p>
    <w:p w:rsidR="00B21C91" w:rsidRDefault="00B21C9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51"/>
        <w:gridCol w:w="7072"/>
      </w:tblGrid>
      <w:tr w:rsidR="00B21C91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pStyle w:val="1"/>
              <w:spacing w:line="204" w:lineRule="auto"/>
              <w:ind w:left="709" w:hanging="7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ИНСТРУКЦИЯ ПО ПРИМЕНЕНИЮ</w:t>
            </w:r>
          </w:p>
          <w:p w:rsidR="00B21C91" w:rsidRDefault="00B21C91">
            <w:pPr>
              <w:pStyle w:val="4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Подготовка поверхности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Грунтовка </w:t>
            </w: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Нанесение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Условия нанесения</w:t>
            </w:r>
          </w:p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sz w:val="4"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Хранение</w:t>
            </w: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rPr>
                <w:b/>
                <w:lang w:val="ru-RU"/>
              </w:rPr>
            </w:pPr>
          </w:p>
          <w:p w:rsidR="00B21C91" w:rsidRDefault="00B21C91">
            <w:pPr>
              <w:pStyle w:val="1"/>
              <w:spacing w:line="204" w:lineRule="auto"/>
              <w:rPr>
                <w:sz w:val="20"/>
                <w:lang w:val="ru-RU"/>
              </w:rPr>
            </w:pPr>
          </w:p>
          <w:p w:rsidR="00B21C91" w:rsidRDefault="00B21C91">
            <w:pPr>
              <w:pStyle w:val="1"/>
              <w:spacing w:line="204" w:lineRule="auto"/>
              <w:rPr>
                <w:sz w:val="4"/>
                <w:lang w:val="ru-RU"/>
              </w:rPr>
            </w:pPr>
          </w:p>
          <w:p w:rsidR="00B21C91" w:rsidRDefault="00B21C91">
            <w:pPr>
              <w:pStyle w:val="1"/>
              <w:spacing w:line="204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Охрана окружающей среды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spacing w:line="20" w:lineRule="atLeast"/>
              <w:rPr>
                <w:lang w:val="ru-RU"/>
              </w:rPr>
            </w:pPr>
          </w:p>
          <w:p w:rsidR="00B21C91" w:rsidRDefault="00B21C91">
            <w:pPr>
              <w:spacing w:line="20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spacing w:line="20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spacing w:line="20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Неокрашенная поверхность: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Очистить  поверхность от пыли и грязи.  При  необходимости  выправить  поверхность  подходящими шпатлёвками.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Высохшую  шпатлевку  отшлифовать и удалить пыль.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Ранее окрашенная  поверхность: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Вымыть подходящим моющим средством в соответствии с руководством и  тщательно  промыть  теплой водой.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 Глянцевые поверхности  отшлифовать до матовости  и  удалить  пыль после шлифования.</w:t>
            </w:r>
          </w:p>
          <w:p w:rsidR="00B21C91" w:rsidRDefault="00B21C91">
            <w:pPr>
              <w:pStyle w:val="a5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поверхностей,  окрашенных   клеевой  краской или  известковой побелкой,  старую клеевую краску или известковую побелку  следует удалить полностью.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  необходимости поверхность выправить подходящими шпатлевками.  Высохшую  шпатлевку  отшлифовать и  удалить пыль. </w:t>
            </w: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a5"/>
              <w:spacing w:line="24" w:lineRule="atLeast"/>
              <w:rPr>
                <w:sz w:val="4"/>
                <w:lang w:val="ru-RU"/>
              </w:rPr>
            </w:pPr>
          </w:p>
          <w:p w:rsidR="00B21C91" w:rsidRDefault="00B21C91">
            <w:pPr>
              <w:pStyle w:val="20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Бетонные, оштукатуренные, зашпатлеванные, кирпичные поверхности, древесностружечные, древесноволокнистые и  гипсовые плиты загрунтовать грунтовкой, в качестве которой используются  краски БИОРА 3 или ТРЕНД 3 (разбавленные водой на 15-20%),  или другие укрепляющие грунтовки.</w:t>
            </w:r>
          </w:p>
          <w:p w:rsidR="00B21C91" w:rsidRPr="0013798A" w:rsidRDefault="00B21C91">
            <w:pPr>
              <w:spacing w:line="24" w:lineRule="atLeast"/>
              <w:rPr>
                <w:lang w:val="ru-RU"/>
              </w:rPr>
            </w:pPr>
            <w:r w:rsidRPr="0013798A">
              <w:rPr>
                <w:lang w:val="ru-RU"/>
              </w:rPr>
              <w:t>Для предотвращения  проявления сучков  на   дощатых  поверхностях,  рекомендуется  адгезионная грунтовочная  краска   ФУТУРА 3.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 w:rsidRPr="0013798A">
              <w:rPr>
                <w:lang w:val="ru-RU"/>
              </w:rPr>
              <w:t>Стальные поверхности перед нанесением красок БИОРА загрунтовать адгезионной  грунтовочной краской ФУТУРА 3, или МЕТА ФЕРРЕКС</w:t>
            </w:r>
            <w:r>
              <w:rPr>
                <w:lang w:val="ru-RU"/>
              </w:rPr>
              <w:t xml:space="preserve"> или антикоррозионной краской КИРЬЁ.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На прочую  неокрашенную  поверхность  и  ранее окрашенную поверхность можно  наносить  непосредственно  БИОРА  БАЛАНС.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Pr="0013798A" w:rsidRDefault="00B21C91">
            <w:pPr>
              <w:spacing w:line="24" w:lineRule="atLeast"/>
              <w:rPr>
                <w:lang w:val="ru-RU"/>
              </w:rPr>
            </w:pPr>
            <w:r w:rsidRPr="0013798A">
              <w:rPr>
                <w:lang w:val="ru-RU"/>
              </w:rPr>
              <w:t>Перед использованием краску  тщательно перемешать.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Перед нанесением краску можно разбавить водой  на 10 %.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Для получения однородной  поверхности,  приготовить  достаточное  количество  краски в одной емкости.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Краску  наносить  валиком,  распылителем или  кистью в 1 – 2  слоя. При распылении  под высоким давлением  применять сопло 0,013” – 0,018”.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Окрашиваемая поверхность должна быть сухой.  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vertAlign w:val="superscript"/>
                <w:lang w:val="ru-RU"/>
              </w:rPr>
              <w:t>0</w:t>
            </w:r>
            <w:r>
              <w:rPr>
                <w:lang w:val="ru-RU"/>
              </w:rPr>
              <w:t>С, относительная влажность воздуха ниже  80 %.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Проветривание во время окрашивания  и во время  высыхания  ускоряет процесс высыхания  краски.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 xml:space="preserve">Защищать от мороза.  </w:t>
            </w: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4" w:lineRule="atLeast"/>
              <w:rPr>
                <w:lang w:val="ru-RU"/>
              </w:rPr>
            </w:pPr>
          </w:p>
          <w:p w:rsidR="00B21C91" w:rsidRDefault="00B21C91">
            <w:pPr>
              <w:spacing w:line="20" w:lineRule="atLeast"/>
              <w:rPr>
                <w:lang w:val="ru-RU"/>
              </w:rPr>
            </w:pPr>
            <w:r>
              <w:rPr>
                <w:lang w:val="ru-RU"/>
              </w:rPr>
              <w:t>Не выливать в канализацию, водоем  или почву. Жидкие остатки передать в место  сбора отходов.  Пустые, сухие банки  можно выбросить на свалку.</w:t>
            </w:r>
          </w:p>
        </w:tc>
      </w:tr>
      <w:tr w:rsidR="00B21C91">
        <w:tblPrEx>
          <w:tblCellMar>
            <w:top w:w="0" w:type="dxa"/>
            <w:bottom w:w="0" w:type="dxa"/>
          </w:tblCellMar>
        </w:tblPrEx>
        <w:trPr>
          <w:cantSplit/>
          <w:trHeight w:val="2276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C91" w:rsidRDefault="00B21C91">
            <w:pPr>
              <w:rPr>
                <w:lang w:val="ru-RU"/>
              </w:rPr>
            </w:pPr>
          </w:p>
          <w:p w:rsidR="00B21C91" w:rsidRDefault="00B21C91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Данные, приведенные в настоящей  технической  характеристике изделия, получены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глянца. Так, как мы не можем повлиять на условия нанесения и использования изделия, то мы несем ответственность только за его качество и гарантируем, что качество материала  обеспечивается  фирменной системой  качества, полностью  соответствующей  требованиям  международных  стандартов ИСО  9001 и ИСО 14001.  Мы не отвечаем за ущерб, вызванный несоблюдением инструкции по применению или использованием изделия не по назначению.</w:t>
            </w:r>
          </w:p>
        </w:tc>
      </w:tr>
    </w:tbl>
    <w:p w:rsidR="00B21C91" w:rsidRDefault="00B21C91">
      <w:pPr>
        <w:rPr>
          <w:lang w:val="ru-RU"/>
        </w:rPr>
      </w:pPr>
    </w:p>
    <w:p w:rsidR="00B21C91" w:rsidRDefault="00B21C91">
      <w:pPr>
        <w:spacing w:line="204" w:lineRule="auto"/>
        <w:rPr>
          <w:lang w:val="ru-RU"/>
        </w:rPr>
      </w:pPr>
    </w:p>
    <w:sectPr w:rsidR="00B21C91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798A"/>
    <w:rsid w:val="0013798A"/>
    <w:rsid w:val="00B21C91"/>
    <w:rsid w:val="00C6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22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rPr>
      <w:sz w:val="18"/>
      <w:lang w:val="fi-FI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rPr>
      <w:sz w:val="18"/>
      <w:lang w:val="fi-FI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2005-09-16T06:29:00Z</cp:lastPrinted>
  <dcterms:created xsi:type="dcterms:W3CDTF">2011-01-17T08:56:00Z</dcterms:created>
  <dcterms:modified xsi:type="dcterms:W3CDTF">2011-01-17T08:56:00Z</dcterms:modified>
</cp:coreProperties>
</file>