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F1" w:rsidRDefault="001E06F1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1E06F1" w:rsidRDefault="001E06F1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1E06F1" w:rsidRDefault="001E06F1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1E06F1" w:rsidRDefault="001E06F1">
      <w:pPr>
        <w:rPr>
          <w:sz w:val="16"/>
          <w:lang w:val="ru-RU"/>
        </w:rPr>
      </w:pPr>
    </w:p>
    <w:p w:rsidR="001E06F1" w:rsidRDefault="001E06F1">
      <w:pPr>
        <w:rPr>
          <w:sz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22"/>
        <w:gridCol w:w="7101"/>
      </w:tblGrid>
      <w:tr w:rsidR="001E06F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right w:val="nil"/>
            </w:tcBorders>
          </w:tcPr>
          <w:p w:rsidR="001E06F1" w:rsidRDefault="001E06F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материала</w:t>
            </w:r>
          </w:p>
          <w:p w:rsidR="001E06F1" w:rsidRDefault="001E06F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288</w:t>
            </w:r>
          </w:p>
          <w:p w:rsidR="001E06F1" w:rsidRDefault="001E06F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4     14 .03. 2003</w:t>
            </w:r>
          </w:p>
        </w:tc>
        <w:tc>
          <w:tcPr>
            <w:tcW w:w="7101" w:type="dxa"/>
            <w:tcBorders>
              <w:left w:val="nil"/>
              <w:right w:val="nil"/>
            </w:tcBorders>
          </w:tcPr>
          <w:p w:rsidR="001E06F1" w:rsidRDefault="001E06F1">
            <w:pPr>
              <w:rPr>
                <w:sz w:val="18"/>
                <w:lang w:val="ru-RU"/>
              </w:rPr>
            </w:pPr>
          </w:p>
          <w:p w:rsidR="001E06F1" w:rsidRDefault="001E06F1">
            <w:pPr>
              <w:pStyle w:val="2"/>
              <w:rPr>
                <w:b w:val="0"/>
                <w:sz w:val="22"/>
                <w:lang w:val="ru-RU"/>
              </w:rPr>
            </w:pPr>
            <w:r>
              <w:rPr>
                <w:lang w:val="ru-RU"/>
              </w:rPr>
              <w:t xml:space="preserve">БИОРА  СЕЙНАМААЛИ </w:t>
            </w:r>
          </w:p>
        </w:tc>
      </w:tr>
      <w:tr w:rsidR="001E06F1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</w:tcPr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pStyle w:val="1"/>
              <w:rPr>
                <w:b w:val="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ТИП КРАСКИ</w:t>
            </w:r>
          </w:p>
          <w:p w:rsidR="001E06F1" w:rsidRDefault="001E06F1">
            <w:pPr>
              <w:rPr>
                <w:b/>
                <w:lang w:val="ru-RU"/>
              </w:rPr>
            </w:pPr>
          </w:p>
          <w:p w:rsidR="001E06F1" w:rsidRDefault="001E06F1">
            <w:pPr>
              <w:rPr>
                <w:b/>
                <w:lang w:val="ru-RU"/>
              </w:rPr>
            </w:pPr>
          </w:p>
          <w:p w:rsidR="001E06F1" w:rsidRDefault="001E06F1">
            <w:pPr>
              <w:rPr>
                <w:b/>
                <w:lang w:val="ru-RU"/>
              </w:rPr>
            </w:pPr>
          </w:p>
          <w:p w:rsidR="001E06F1" w:rsidRDefault="001E06F1">
            <w:pPr>
              <w:rPr>
                <w:b/>
                <w:lang w:val="ru-RU"/>
              </w:rPr>
            </w:pPr>
          </w:p>
          <w:p w:rsidR="001E06F1" w:rsidRDefault="001E06F1">
            <w:pPr>
              <w:rPr>
                <w:b/>
                <w:lang w:val="ru-RU"/>
              </w:rPr>
            </w:pPr>
          </w:p>
          <w:p w:rsidR="001E06F1" w:rsidRDefault="001E06F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ПРИМЕНЕНИЕ</w:t>
            </w: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pStyle w:val="4"/>
              <w:rPr>
                <w:lang w:val="ru-RU"/>
              </w:rPr>
            </w:pPr>
          </w:p>
          <w:p w:rsidR="001E06F1" w:rsidRDefault="001E06F1">
            <w:pPr>
              <w:pStyle w:val="1"/>
              <w:rPr>
                <w:sz w:val="20"/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pStyle w:val="6"/>
              <w:rPr>
                <w:sz w:val="20"/>
              </w:rPr>
            </w:pPr>
          </w:p>
        </w:tc>
        <w:tc>
          <w:tcPr>
            <w:tcW w:w="7101" w:type="dxa"/>
            <w:tcBorders>
              <w:left w:val="nil"/>
              <w:bottom w:val="single" w:sz="4" w:space="0" w:color="auto"/>
              <w:right w:val="nil"/>
            </w:tcBorders>
          </w:tcPr>
          <w:p w:rsidR="001E06F1" w:rsidRDefault="001E06F1">
            <w:pPr>
              <w:pStyle w:val="20"/>
              <w:rPr>
                <w:sz w:val="20"/>
                <w:lang w:val="ru-RU"/>
              </w:rPr>
            </w:pPr>
          </w:p>
          <w:p w:rsidR="001E06F1" w:rsidRDefault="001E06F1">
            <w:pPr>
              <w:pStyle w:val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Матовая водоразбавляемая   акрилатная  краска  для стен и потолков, без растворителей и запаха, стойкая к мытью (более  5000</w:t>
            </w:r>
            <w:r>
              <w:rPr>
                <w:color w:val="FF000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проходов  щеткой). </w:t>
            </w: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Материал  относится  к  категории М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 строительных материалов  по </w:t>
            </w:r>
          </w:p>
          <w:p w:rsidR="001E06F1" w:rsidRDefault="001E06F1">
            <w:pPr>
              <w:pStyle w:val="a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выбросам  вредных  веществ (полное отсутствие  растворителей и других вредных веществ).</w:t>
            </w:r>
          </w:p>
          <w:p w:rsidR="001E06F1" w:rsidRDefault="001E06F1">
            <w:pPr>
              <w:pStyle w:val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Краска легко наносится  и   создает ровную  однородную моющуюся поверхность.  </w:t>
            </w: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Подходит для внутренних стен и потолков,  например,  в детских,  спальных и гостиных  комнатах, а также  для  детских садов, школьных классных помещений, больниц, цехов пищевых производств  и других  соответствующих помещений.</w:t>
            </w: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 xml:space="preserve">Соблюдая  инструкции по применению, краской  можно окрашивать деревянные, бетонные,  оштукатуренные,  зашпаклеванные  и кирпичные поверхности, поверхности из  </w:t>
            </w:r>
            <w:proofErr w:type="gramStart"/>
            <w:r>
              <w:rPr>
                <w:lang w:val="ru-RU"/>
              </w:rPr>
              <w:t>древесно- стружечных</w:t>
            </w:r>
            <w:proofErr w:type="gramEnd"/>
            <w:r>
              <w:rPr>
                <w:lang w:val="ru-RU"/>
              </w:rPr>
              <w:t xml:space="preserve"> и древесно-волокнистых плит, а также стальные поверхности и поверхности из других строительных материалов. Особенно рекомендуется для декорирования «обоев под окраску». </w:t>
            </w: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Кроме того,  может использоваться  для ремонтной  окраски  поверхностей, ранее  окрашенных  алкидными и  водоразбавляемыми красками.</w:t>
            </w:r>
          </w:p>
        </w:tc>
      </w:tr>
      <w:tr w:rsidR="001E06F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bottom w:val="nil"/>
              <w:right w:val="nil"/>
            </w:tcBorders>
          </w:tcPr>
          <w:p w:rsidR="001E06F1" w:rsidRDefault="001E06F1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</w:tc>
        <w:tc>
          <w:tcPr>
            <w:tcW w:w="7101" w:type="dxa"/>
            <w:tcBorders>
              <w:left w:val="nil"/>
              <w:bottom w:val="nil"/>
              <w:right w:val="nil"/>
            </w:tcBorders>
          </w:tcPr>
          <w:p w:rsidR="001E06F1" w:rsidRDefault="001E06F1">
            <w:pPr>
              <w:rPr>
                <w:lang w:val="ru-RU"/>
              </w:rPr>
            </w:pPr>
          </w:p>
        </w:tc>
      </w:tr>
      <w:tr w:rsidR="001E06F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E06F1" w:rsidRDefault="001E06F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Сухой остаток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Прим.    40  % по объему</w:t>
            </w:r>
          </w:p>
        </w:tc>
      </w:tr>
      <w:tr w:rsidR="001E06F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E06F1" w:rsidRDefault="001E06F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Практическая укрывистость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 xml:space="preserve">Ранее окрашенная поверхность                    10 – </w:t>
            </w:r>
            <w:smartTag w:uri="urn:schemas-microsoft-com:office:smarttags" w:element="metricconverter">
              <w:smartTagPr>
                <w:attr w:name="ProductID" w:val="12 м2"/>
              </w:smartTagPr>
              <w:r>
                <w:rPr>
                  <w:lang w:val="ru-RU"/>
                </w:rPr>
                <w:t>12 м</w:t>
              </w:r>
              <w:proofErr w:type="gramStart"/>
              <w:r>
                <w:rPr>
                  <w:vertAlign w:val="superscript"/>
                  <w:lang w:val="ru-RU"/>
                </w:rPr>
                <w:t>2</w:t>
              </w:r>
            </w:smartTag>
            <w:proofErr w:type="gramEnd"/>
            <w:r>
              <w:rPr>
                <w:lang w:val="ru-RU"/>
              </w:rPr>
              <w:t xml:space="preserve"> /л</w:t>
            </w: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Зашпатлеванная поверхность и</w:t>
            </w: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 xml:space="preserve">древесно-волокнистая плита                           7 – </w:t>
            </w:r>
            <w:smartTag w:uri="urn:schemas-microsoft-com:office:smarttags" w:element="metricconverter">
              <w:smartTagPr>
                <w:attr w:name="ProductID" w:val="10 м2"/>
              </w:smartTagPr>
              <w:r>
                <w:rPr>
                  <w:lang w:val="ru-RU"/>
                </w:rPr>
                <w:t>10 м</w:t>
              </w:r>
              <w:proofErr w:type="gramStart"/>
              <w:r>
                <w:rPr>
                  <w:vertAlign w:val="superscript"/>
                  <w:lang w:val="ru-RU"/>
                </w:rPr>
                <w:t>2</w:t>
              </w:r>
            </w:smartTag>
            <w:proofErr w:type="gramEnd"/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/л</w:t>
            </w: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 xml:space="preserve">Бетонная и  оштукатуренная поверхность      4 –   </w:t>
            </w:r>
            <w:smartTag w:uri="urn:schemas-microsoft-com:office:smarttags" w:element="metricconverter">
              <w:smartTagPr>
                <w:attr w:name="ProductID" w:val="7 м2"/>
              </w:smartTagPr>
              <w:r>
                <w:rPr>
                  <w:lang w:val="ru-RU"/>
                </w:rPr>
                <w:t>7 м</w:t>
              </w:r>
              <w:proofErr w:type="gramStart"/>
              <w:r>
                <w:rPr>
                  <w:vertAlign w:val="superscript"/>
                  <w:lang w:val="ru-RU"/>
                </w:rPr>
                <w:t>2</w:t>
              </w:r>
            </w:smartTag>
            <w:proofErr w:type="gramEnd"/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 xml:space="preserve"> /л</w:t>
            </w:r>
          </w:p>
        </w:tc>
      </w:tr>
      <w:tr w:rsidR="001E06F1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E06F1" w:rsidRDefault="001E06F1">
            <w:pPr>
              <w:pStyle w:val="1"/>
              <w:rPr>
                <w:sz w:val="20"/>
                <w:lang w:val="ru-RU"/>
              </w:rPr>
            </w:pPr>
          </w:p>
          <w:p w:rsidR="001E06F1" w:rsidRDefault="001E06F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Плотность</w:t>
            </w: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Время  высыхания: 23 </w:t>
            </w:r>
            <w:r>
              <w:rPr>
                <w:b/>
                <w:vertAlign w:val="superscript"/>
                <w:lang w:val="ru-RU"/>
              </w:rPr>
              <w:t>0</w:t>
            </w:r>
            <w:r>
              <w:rPr>
                <w:b/>
                <w:lang w:val="ru-RU"/>
              </w:rPr>
              <w:t xml:space="preserve">С,  </w:t>
            </w:r>
          </w:p>
          <w:p w:rsidR="001E06F1" w:rsidRDefault="001E06F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относительная влажность воздуха 50% </w:t>
            </w:r>
          </w:p>
          <w:p w:rsidR="001E06F1" w:rsidRDefault="001E06F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-от пыли</w:t>
            </w:r>
          </w:p>
          <w:p w:rsidR="001E06F1" w:rsidRDefault="001E06F1">
            <w:pPr>
              <w:rPr>
                <w:lang w:val="ru-RU"/>
              </w:rPr>
            </w:pPr>
            <w:r>
              <w:rPr>
                <w:b/>
                <w:lang w:val="ru-RU"/>
              </w:rPr>
              <w:t>-нанесение следующего слоя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1E06F1" w:rsidRDefault="001E06F1">
            <w:pPr>
              <w:ind w:right="141"/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Прим.  1,4   кг/ л</w:t>
            </w: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½  часа</w:t>
            </w: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 xml:space="preserve"> через   2  часа</w:t>
            </w:r>
          </w:p>
          <w:p w:rsidR="001E06F1" w:rsidRDefault="001E06F1">
            <w:pPr>
              <w:rPr>
                <w:lang w:val="ru-RU"/>
              </w:rPr>
            </w:pPr>
          </w:p>
        </w:tc>
      </w:tr>
      <w:tr w:rsidR="001E06F1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E06F1" w:rsidRDefault="001E06F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Разбавитель,</w:t>
            </w:r>
          </w:p>
          <w:p w:rsidR="001E06F1" w:rsidRDefault="001E06F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очистка  инструментов</w:t>
            </w:r>
          </w:p>
          <w:p w:rsidR="001E06F1" w:rsidRDefault="001E06F1">
            <w:pPr>
              <w:rPr>
                <w:b/>
                <w:lang w:val="ru-RU"/>
              </w:rPr>
            </w:pPr>
          </w:p>
          <w:p w:rsidR="001E06F1" w:rsidRDefault="001E06F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Блеск</w:t>
            </w:r>
          </w:p>
          <w:p w:rsidR="001E06F1" w:rsidRDefault="001E06F1">
            <w:pPr>
              <w:rPr>
                <w:b/>
                <w:lang w:val="ru-RU"/>
              </w:rPr>
            </w:pPr>
          </w:p>
          <w:p w:rsidR="001E06F1" w:rsidRDefault="001E06F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Цвет</w:t>
            </w:r>
          </w:p>
          <w:p w:rsidR="001E06F1" w:rsidRDefault="001E06F1">
            <w:pPr>
              <w:rPr>
                <w:b/>
                <w:lang w:val="ru-RU"/>
              </w:rPr>
            </w:pPr>
          </w:p>
          <w:p w:rsidR="001E06F1" w:rsidRDefault="001E06F1">
            <w:pPr>
              <w:rPr>
                <w:b/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  <w:r>
              <w:rPr>
                <w:b/>
                <w:lang w:val="ru-RU"/>
              </w:rPr>
              <w:t>Стойкость к мытью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Инструменты  обязательно  промыть   после   работы  теплой водой.</w:t>
            </w: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Матовый (7)</w:t>
            </w: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Краска колеруется во все  цвета по  карте цветов для  внутренних  поверхностей (</w:t>
            </w:r>
            <w:r>
              <w:rPr>
                <w:lang w:val="en-US"/>
              </w:rPr>
              <w:t>NCS</w:t>
            </w:r>
            <w:r w:rsidRPr="00C01A19">
              <w:rPr>
                <w:lang w:val="ru-RU"/>
              </w:rPr>
              <w:t xml:space="preserve">, </w:t>
            </w:r>
            <w:r>
              <w:rPr>
                <w:lang w:val="en-US"/>
              </w:rPr>
              <w:t>RAL</w:t>
            </w:r>
            <w:r w:rsidRPr="00C01A1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и др.)</w:t>
            </w: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  <w:r>
              <w:rPr>
                <w:lang w:val="ru-RU"/>
              </w:rPr>
              <w:t>Высокая. Выдерживает  более  5000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lang w:val="ru-RU"/>
              </w:rPr>
              <w:t xml:space="preserve"> проходов  щеткой (</w:t>
            </w:r>
            <w:r>
              <w:rPr>
                <w:lang w:val="fi-FI"/>
              </w:rPr>
              <w:t>SFS</w:t>
            </w:r>
            <w:r>
              <w:rPr>
                <w:lang w:val="ru-RU"/>
              </w:rPr>
              <w:t xml:space="preserve"> 3755).</w:t>
            </w:r>
          </w:p>
        </w:tc>
      </w:tr>
    </w:tbl>
    <w:p w:rsidR="001E06F1" w:rsidRDefault="001E06F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3"/>
        <w:gridCol w:w="7351"/>
      </w:tblGrid>
      <w:tr w:rsidR="001E06F1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6F1" w:rsidRDefault="001E06F1">
            <w:pPr>
              <w:spacing w:line="204" w:lineRule="auto"/>
              <w:rPr>
                <w:lang w:val="ru-RU"/>
              </w:rPr>
            </w:pPr>
          </w:p>
          <w:p w:rsidR="001E06F1" w:rsidRDefault="001E06F1">
            <w:pPr>
              <w:pStyle w:val="1"/>
              <w:spacing w:line="204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ИНСТРУКЦИЯ ПО ПРИМЕНЕНИЮ</w:t>
            </w:r>
          </w:p>
          <w:p w:rsidR="001E06F1" w:rsidRDefault="001E06F1">
            <w:pPr>
              <w:pStyle w:val="4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Подготовка поверхности</w:t>
            </w: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pStyle w:val="1"/>
              <w:rPr>
                <w:sz w:val="20"/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pStyle w:val="4"/>
              <w:rPr>
                <w:lang w:val="ru-RU"/>
              </w:rPr>
            </w:pPr>
          </w:p>
          <w:p w:rsidR="001E06F1" w:rsidRDefault="001E06F1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Грунтовка</w:t>
            </w: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pStyle w:val="1"/>
              <w:rPr>
                <w:sz w:val="20"/>
                <w:lang w:val="ru-RU"/>
              </w:rPr>
            </w:pPr>
          </w:p>
          <w:p w:rsidR="001E06F1" w:rsidRDefault="001E06F1">
            <w:pPr>
              <w:pStyle w:val="1"/>
              <w:rPr>
                <w:sz w:val="20"/>
                <w:lang w:val="ru-RU"/>
              </w:rPr>
            </w:pPr>
          </w:p>
          <w:p w:rsidR="001E06F1" w:rsidRDefault="001E06F1">
            <w:pPr>
              <w:pStyle w:val="1"/>
              <w:rPr>
                <w:sz w:val="20"/>
                <w:lang w:val="ru-RU"/>
              </w:rPr>
            </w:pPr>
          </w:p>
          <w:p w:rsidR="001E06F1" w:rsidRDefault="001E06F1">
            <w:pPr>
              <w:pStyle w:val="1"/>
              <w:rPr>
                <w:sz w:val="20"/>
                <w:lang w:val="ru-RU"/>
              </w:rPr>
            </w:pPr>
          </w:p>
          <w:p w:rsidR="001E06F1" w:rsidRDefault="001E06F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Нанесение</w:t>
            </w: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Условия нанесения</w:t>
            </w: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lang w:val="ru-RU"/>
              </w:rPr>
            </w:pPr>
          </w:p>
          <w:p w:rsidR="001E06F1" w:rsidRDefault="001E06F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Хранение</w:t>
            </w:r>
          </w:p>
          <w:p w:rsidR="001E06F1" w:rsidRDefault="001E06F1">
            <w:pPr>
              <w:rPr>
                <w:b/>
                <w:lang w:val="ru-RU"/>
              </w:rPr>
            </w:pPr>
          </w:p>
          <w:p w:rsidR="001E06F1" w:rsidRDefault="001E06F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Охрана окружающей среды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6F1" w:rsidRDefault="001E06F1">
            <w:pPr>
              <w:pStyle w:val="3"/>
              <w:spacing w:line="20" w:lineRule="atLeast"/>
              <w:jc w:val="left"/>
              <w:rPr>
                <w:b w:val="0"/>
                <w:sz w:val="20"/>
                <w:lang w:val="ru-RU"/>
              </w:rPr>
            </w:pPr>
          </w:p>
          <w:p w:rsidR="001E06F1" w:rsidRDefault="001E06F1">
            <w:pPr>
              <w:spacing w:line="20" w:lineRule="atLeast"/>
              <w:rPr>
                <w:lang w:val="ru-RU"/>
              </w:rPr>
            </w:pPr>
          </w:p>
          <w:p w:rsidR="001E06F1" w:rsidRDefault="001E06F1">
            <w:pPr>
              <w:spacing w:line="20" w:lineRule="atLeast"/>
              <w:rPr>
                <w:lang w:val="ru-RU"/>
              </w:rPr>
            </w:pPr>
          </w:p>
          <w:p w:rsidR="001E06F1" w:rsidRDefault="001E06F1">
            <w:pPr>
              <w:spacing w:line="20" w:lineRule="atLeast"/>
              <w:rPr>
                <w:lang w:val="ru-RU"/>
              </w:rPr>
            </w:pPr>
            <w:r>
              <w:rPr>
                <w:lang w:val="ru-RU"/>
              </w:rPr>
              <w:t>Неокрашенная поверхность: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Очистить  поверхность  от пыли и грязи.  При необходимости  выправить  поверхность подходящими  шпатлевками.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Высохшую шпатлевку  отшлифовать  и удалить пыль.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Ранее окрашенная поверхность: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Вымыть подходящим  моющим средством в соответствии с руководством и  тщательно  промыть  теплой водой. 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</w:p>
          <w:p w:rsidR="001E06F1" w:rsidRPr="00C01A19" w:rsidRDefault="001E06F1">
            <w:pPr>
              <w:spacing w:line="24" w:lineRule="atLeast"/>
              <w:rPr>
                <w:lang w:val="ru-RU"/>
              </w:rPr>
            </w:pPr>
            <w:r w:rsidRPr="00C01A19">
              <w:rPr>
                <w:lang w:val="ru-RU"/>
              </w:rPr>
              <w:t>Глянцевые поверхности  отшлифовать до матовости  и  удалить  пыль после шлифования.</w:t>
            </w:r>
          </w:p>
          <w:p w:rsidR="001E06F1" w:rsidRDefault="001E06F1">
            <w:pPr>
              <w:pStyle w:val="a5"/>
              <w:spacing w:line="24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поверхностей,  окрашенных   клеевой  краской или  известковой побелкой,  старую клеевую краску или известковую побелку  следует удалить полностью.</w:t>
            </w:r>
          </w:p>
          <w:p w:rsidR="001E06F1" w:rsidRPr="00C01A19" w:rsidRDefault="001E06F1">
            <w:pPr>
              <w:spacing w:line="24" w:lineRule="atLeast"/>
              <w:rPr>
                <w:lang w:val="ru-RU"/>
              </w:rPr>
            </w:pPr>
          </w:p>
          <w:p w:rsidR="001E06F1" w:rsidRDefault="001E06F1">
            <w:pPr>
              <w:pStyle w:val="a5"/>
              <w:spacing w:line="24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При  необходимости  выправить  поверхность  подходящими шпатлевками.  Высохшую  шпатлевку  отшлифовать и  удалить пыль. </w:t>
            </w:r>
          </w:p>
          <w:p w:rsidR="001E06F1" w:rsidRDefault="001E06F1">
            <w:pPr>
              <w:pStyle w:val="a5"/>
              <w:spacing w:line="24" w:lineRule="atLeast"/>
              <w:rPr>
                <w:sz w:val="6"/>
                <w:lang w:val="ru-RU"/>
              </w:rPr>
            </w:pPr>
          </w:p>
          <w:p w:rsidR="001E06F1" w:rsidRDefault="001E06F1">
            <w:pPr>
              <w:pStyle w:val="a5"/>
              <w:spacing w:line="24" w:lineRule="atLeast"/>
              <w:rPr>
                <w:sz w:val="6"/>
                <w:lang w:val="ru-RU"/>
              </w:rPr>
            </w:pPr>
          </w:p>
          <w:p w:rsidR="001E06F1" w:rsidRDefault="001E06F1">
            <w:pPr>
              <w:pStyle w:val="a5"/>
              <w:spacing w:line="24" w:lineRule="atLeast"/>
              <w:rPr>
                <w:sz w:val="6"/>
                <w:lang w:val="ru-RU"/>
              </w:rPr>
            </w:pPr>
          </w:p>
          <w:p w:rsidR="001E06F1" w:rsidRDefault="001E06F1">
            <w:pPr>
              <w:pStyle w:val="a5"/>
              <w:spacing w:line="24" w:lineRule="atLeast"/>
              <w:rPr>
                <w:sz w:val="6"/>
                <w:lang w:val="ru-RU"/>
              </w:rPr>
            </w:pPr>
          </w:p>
          <w:p w:rsidR="001E06F1" w:rsidRDefault="001E06F1">
            <w:pPr>
              <w:pStyle w:val="a5"/>
              <w:spacing w:line="24" w:lineRule="atLeast"/>
              <w:rPr>
                <w:sz w:val="6"/>
                <w:lang w:val="ru-RU"/>
              </w:rPr>
            </w:pPr>
          </w:p>
          <w:p w:rsidR="001E06F1" w:rsidRDefault="001E06F1">
            <w:pPr>
              <w:pStyle w:val="a5"/>
              <w:spacing w:line="24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Бетонные, оштукатуренные, зашпаклеванные  и кирпичные  поверхности,  древесностружечные, древесноволокнистые и  гипсовые плиты загрунтовать грунтовкой, в качестве которой используются  краски БИОРА 3 или ТРЕНД 3  (разбавленные водой на 15-20%),  или другие укрепляющие грунтовки.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Для предотвращения  проявления сучков  на   дощатых  поверхностях,  рекомендуется  адгезионная грунтовочная  краска   ФУТУРА 3.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Стальные поверхности перед нанесением красок  БИОРА  загрунтовать адгезионной  грунтовочной краской ФУТУРА 3, или МЕТА ФЕРРЕКС. </w:t>
            </w:r>
          </w:p>
          <w:p w:rsidR="001E06F1" w:rsidRDefault="001E06F1">
            <w:pPr>
              <w:spacing w:line="24" w:lineRule="atLeast"/>
              <w:rPr>
                <w:sz w:val="4"/>
                <w:lang w:val="ru-RU"/>
              </w:rPr>
            </w:pPr>
          </w:p>
          <w:p w:rsidR="001E06F1" w:rsidRDefault="001E06F1">
            <w:pPr>
              <w:spacing w:line="24" w:lineRule="atLeast"/>
              <w:rPr>
                <w:sz w:val="4"/>
                <w:lang w:val="ru-RU"/>
              </w:rPr>
            </w:pPr>
          </w:p>
          <w:p w:rsidR="001E06F1" w:rsidRDefault="001E06F1">
            <w:pPr>
              <w:spacing w:line="24" w:lineRule="atLeast"/>
              <w:rPr>
                <w:sz w:val="4"/>
                <w:lang w:val="ru-RU"/>
              </w:rPr>
            </w:pPr>
          </w:p>
          <w:p w:rsidR="001E06F1" w:rsidRDefault="001E06F1">
            <w:pPr>
              <w:spacing w:line="24" w:lineRule="atLeast"/>
              <w:rPr>
                <w:sz w:val="4"/>
                <w:lang w:val="ru-RU"/>
              </w:rPr>
            </w:pPr>
          </w:p>
          <w:p w:rsidR="001E06F1" w:rsidRDefault="001E06F1">
            <w:pPr>
              <w:spacing w:line="24" w:lineRule="atLeast"/>
              <w:rPr>
                <w:sz w:val="4"/>
                <w:lang w:val="ru-RU"/>
              </w:rPr>
            </w:pPr>
          </w:p>
          <w:p w:rsidR="001E06F1" w:rsidRDefault="001E06F1">
            <w:pPr>
              <w:spacing w:line="24" w:lineRule="atLeast"/>
              <w:rPr>
                <w:sz w:val="4"/>
                <w:lang w:val="ru-RU"/>
              </w:rPr>
            </w:pPr>
          </w:p>
          <w:p w:rsidR="001E06F1" w:rsidRDefault="001E06F1">
            <w:pPr>
              <w:spacing w:line="24" w:lineRule="atLeast"/>
              <w:rPr>
                <w:sz w:val="4"/>
                <w:lang w:val="ru-RU"/>
              </w:rPr>
            </w:pP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Перед использованием краску  тщательно перемешать.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При необходимости разбавить водой на</w:t>
            </w:r>
            <w:r>
              <w:rPr>
                <w:color w:val="FF0000"/>
                <w:lang w:val="ru-RU"/>
              </w:rPr>
              <w:t xml:space="preserve">  </w:t>
            </w:r>
            <w:r>
              <w:rPr>
                <w:lang w:val="ru-RU"/>
              </w:rPr>
              <w:t>10%.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Краску  наносить  валиком,  распылителем или  кистью  в 1 – 2  слоя.</w:t>
            </w:r>
          </w:p>
          <w:p w:rsidR="001E06F1" w:rsidRDefault="001E06F1">
            <w:pPr>
              <w:spacing w:line="24" w:lineRule="atLeast"/>
              <w:rPr>
                <w:lang w:val="pl-PL"/>
              </w:rPr>
            </w:pPr>
            <w:r>
              <w:rPr>
                <w:lang w:val="ru-RU"/>
              </w:rPr>
              <w:t xml:space="preserve">При распылении  под высоким давлением применять сопло </w:t>
            </w:r>
            <w:smartTag w:uri="urn:schemas-microsoft-com:office:smarttags" w:element="metricconverter">
              <w:smartTagPr>
                <w:attr w:name="ProductID" w:val="0,013”"/>
              </w:smartTagPr>
              <w:r>
                <w:rPr>
                  <w:lang w:val="ru-RU"/>
                </w:rPr>
                <w:t>0,013</w:t>
              </w:r>
              <w:r>
                <w:rPr>
                  <w:lang w:val="pl-PL"/>
                </w:rPr>
                <w:t>”</w:t>
              </w:r>
            </w:smartTag>
            <w:r>
              <w:rPr>
                <w:lang w:val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018”"/>
              </w:smartTagPr>
              <w:r>
                <w:rPr>
                  <w:lang w:val="pl-PL"/>
                </w:rPr>
                <w:t>0,018”</w:t>
              </w:r>
            </w:smartTag>
            <w:r>
              <w:rPr>
                <w:lang w:val="pl-PL"/>
              </w:rPr>
              <w:t>.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Окрашиваемая поверхность должна быть сухой.   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Во  время   нанесения   и  высыхания   краски   температура  воздуха,   поверхности  и  краски  должна  быть   выше +  5 </w:t>
            </w:r>
            <w:r>
              <w:rPr>
                <w:vertAlign w:val="superscript"/>
                <w:lang w:val="ru-RU"/>
              </w:rPr>
              <w:t>0</w:t>
            </w:r>
            <w:r>
              <w:rPr>
                <w:lang w:val="ru-RU"/>
              </w:rPr>
              <w:t>С, относительная влажность воздуха   при нанесении валиком   должна быть  30 – 80 %,  при   нанесении  распылителем  или кистью   - ниже 80%.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Проветривание во время окрашивания  и во время  высыхания  ускоряет процесс высыхания  краски.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Защищать от мороза.</w:t>
            </w:r>
          </w:p>
          <w:p w:rsidR="001E06F1" w:rsidRDefault="001E06F1">
            <w:pPr>
              <w:spacing w:line="24" w:lineRule="atLeast"/>
              <w:rPr>
                <w:lang w:val="ru-RU"/>
              </w:rPr>
            </w:pPr>
          </w:p>
          <w:p w:rsidR="001E06F1" w:rsidRDefault="001E06F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Не выливать в канализацию, водоем или почву. Жидкие остатки  передать </w:t>
            </w:r>
            <w:proofErr w:type="gramStart"/>
            <w:r>
              <w:rPr>
                <w:lang w:val="ru-RU"/>
              </w:rPr>
              <w:t>в место  сбора</w:t>
            </w:r>
            <w:proofErr w:type="gramEnd"/>
            <w:r>
              <w:rPr>
                <w:lang w:val="ru-RU"/>
              </w:rPr>
              <w:t xml:space="preserve"> отходов. Пустые, сухие банки  можно выбросить на свалку.</w:t>
            </w:r>
          </w:p>
        </w:tc>
      </w:tr>
      <w:tr w:rsidR="001E0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F1" w:rsidRDefault="001E06F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Приведенные данные  получены  на основании лабораторных испытаний и практического опыта. Все  числовые  значения носят рекомендательный характер и зависят, в частности, от оттенка и степени  блеска. Так, как мы не можем повлиять на условия нанесения и использования  материала, то мы несем ответственность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несоблюдением инструкции по применению или использованием  материала не по назначению.</w:t>
            </w:r>
          </w:p>
        </w:tc>
      </w:tr>
    </w:tbl>
    <w:p w:rsidR="001E06F1" w:rsidRDefault="001E06F1">
      <w:pPr>
        <w:spacing w:line="204" w:lineRule="auto"/>
        <w:rPr>
          <w:sz w:val="16"/>
          <w:lang w:val="ru-RU"/>
        </w:rPr>
      </w:pPr>
    </w:p>
    <w:sectPr w:rsidR="001E06F1">
      <w:pgSz w:w="11906" w:h="16838"/>
      <w:pgMar w:top="567" w:right="68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A19"/>
    <w:rsid w:val="001E06F1"/>
    <w:rsid w:val="00C01A19"/>
    <w:rsid w:val="00CA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rPr>
      <w:sz w:val="18"/>
      <w:lang w:val="fi-FI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 Indent"/>
    <w:basedOn w:val="a"/>
    <w:rPr>
      <w:sz w:val="18"/>
      <w:lang w:val="fi-FI" w:eastAsia="ru-RU"/>
    </w:rPr>
  </w:style>
  <w:style w:type="paragraph" w:styleId="a6">
    <w:name w:val="Balloon Text"/>
    <w:basedOn w:val="a"/>
    <w:semiHidden/>
    <w:rsid w:val="00C01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2006-05-24T07:12:00Z</cp:lastPrinted>
  <dcterms:created xsi:type="dcterms:W3CDTF">2011-01-20T11:31:00Z</dcterms:created>
  <dcterms:modified xsi:type="dcterms:W3CDTF">2011-01-20T11:31:00Z</dcterms:modified>
</cp:coreProperties>
</file>